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 leadeth 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He leadeth me: O blessed thought!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 words with heavenly comfort fraught!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Whate'er I do, where'er I be,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still 'tis God's hand that leadeth me.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Refrain: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He leadeth me, he leadeth me;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by his own hand he leadeth me: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his faithful follower I would be,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for by his hand he leadeth me.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Sometimes mid scenes of deepest gloom,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sometimes where Eden's flowers bloom,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by waters calm, o'er troubled sea,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still 'tis God's hand that leadeth me.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Lord, I would clasp thy hand in mine,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nor ever murmur nor repine;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content, whatever lot I see,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since 'tis my God that leadeth me. Refrain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And when my task on earth is done,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when, by thy grace, the victory's won,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e'en death's cold wave I will not flee,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since God through Jordan leadeth me. Refrain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 guía Él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Me guía Él: ¡qué bendición!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¡Qué celestial consolación!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En mi labor, doquier que_esté,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Con mano fiel me guía Él.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Me guía Él, me guía Él,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con mano fiel me guía Él.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Su seguidor yo quiero ser;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con mano fiel me guía Él.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En el abismo del dolor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O_en dónde_brota bella flor,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en dulce paz o_en lucha cruel,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con mano fiel me guía Él.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3.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Tu mano quiero yo tomar.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Jesús, y nunca murmurar,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Contento con mi suerte_aquí,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Pues mi Señor me guía_a mí.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4.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Y mi carrera_al terminar,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Y_así mi triunfo_al realizar,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Aun en la muerte no huiré;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Por el Jordán me guía Él.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