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Nothing but the blood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What can wash away my sin?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Nothing but the blood of Jesus.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What can make me whole again?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Nothing but the blood of Jesus.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 precious is the flow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that makes me white as snow;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no other fount I know;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nothing but the blood of Jesus.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For my pardon this I see: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nothing but the blood of Jesus.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For my cleansing this my plea: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nothing but the blood of Jesus.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Nothing can for sin atone: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nothing but the blood of Jesus.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Naught of good that I have done: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nothing but the blood of Jesus. [Refrain]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This is all my hope and peace: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nothing but the blood of Jesus.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This is all my righteousness: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nothing but the blood of Jesus. [Refrain]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Sólo de Jesús la sangre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Verses 1,2, chorus not original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¿Qué me puede dar perdón?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Solo de Jesús la sangre;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¿Y un nuevo corazón?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Solo de Jesús la sangre.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Coro: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Precioso es el raudal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Que limpia todo mal;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No hay otro manantial,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Solo de Jesús la sangre.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Veo para mí salud,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Solo de Jesús la sangre;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Tiene de sanar virtud,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Solo de Jesús la sangre.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Nada más da expiación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Sólo de Jesús la sangre.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Ninguna_obra que_hice yo: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Sólo de Jesús la sangre.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Es mi esperanza_y paz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Sólo de Jesús la sangre,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De justificar capaz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Sólo de Jesús la sangre.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