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Take my life and let it be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Take my life and let it be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consecrated, Lord, to thee.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Take my moments and my days;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let them flow in endless praise.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Take my hands and let them move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at the impulse of thy love.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Take my feet and let them be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swift and beautiful for thee.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Take my voice and let me sing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always, only, for my King.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Take my lips and let them be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filled with messages from thee.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Take my silver and my gold;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not a mite would I withhold.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Take my intellect and use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every power as thou shalt choose.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Take my will and make it thine;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it shall be no longer mine.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Take my heart it is thine own;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it shall be thy royal throne.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6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Take my love; my Lord, I pour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at thy feet its treasure store.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Take myself, and I will be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ever, only, all for thee.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Toma mi vida, Señor;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Consagrada te la doy.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Toma todo lo que soy,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 lo_ofrezco con amor.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Toma mis manos, Señor,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Las consagro_a tu labor.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Toma hoy también mis pies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Para cosechar la mies.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Ten mi voz y cantaré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Siempre, solo por mi Rey.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Ten mis labios para hablar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Tu mensaje de amor.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Ten mi plata y_oro hoy;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Ni una pizca quiero yo.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Ten mi mente_y su poder;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Úsala para tu bien.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Toma Tú mi voluntad;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 tus pies postrada está.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Toma aun mi corazón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Y_haz en él tu trono hoy.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Toma, oh Señor, mi_amor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Que_a tus pies derramo hoy.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Tómame para que_así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Sólo sea para ti.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