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 I a Soldier of the Cross?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#33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  <w:br w:type="textWrapping"/>
        <w:t xml:space="preserve">Am I a soldier of the cross,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follow’r of the Lamb?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shall I fear to own His cause,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Or blush to speak His name?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Must I be carried to the skies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On flow’ry beds of ease,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While others fought to win the prize,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 sailed through bloody seas?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Are there no foes for me to face?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Must I not stem the flood?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Is this vile world a friend to grace,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 help me on to God?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Sure I must fight if I would reign;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Increase my courage, Lord;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I’ll bear the toil, endure the pain,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Supported by Thy Word.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Thy saints in all this glorious war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Shall conquer, though they die;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They see the triumph from afar,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By faith’s discerning eye.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When that illustrious day shall rise,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all Thy armies shine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 robes of vict’ry through the skies,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glory shall be Thine.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¿Soy yo soldado de Jesús?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¿Soy yo soldado de Jesús,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 Cristo_un seguidor?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¿Y temeré llevar su cruz,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Negando_a mi Señor?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¿Al cielo_a mí me llevarán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Por sosegada mar,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Y otros en batalla_están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Dispuestos sangre_a dar?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¿No_hay enemigo que_enfrentar?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¿No_debo resistir?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¿Dará_este mundo su_amistad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La senda al seguir?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Por la corona_hay que luchar.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¡O_aumenta mi valor!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Por tu palabra,_ayuda da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En penas y labor.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Tus santos victoria tendrán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Aunque sus vidas den.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De guerra miran más allá;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Por fe su triunfo ven.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En ese día tu_ejército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Ya resplandecerá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En túnicas de vencedor.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¡La gloria_a ti dará!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