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There is a Habitation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#660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There is a habitation,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Built by the living God,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all of every nation,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Who seek that grand abode.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 Zion, Zion,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(O Zion, lovely Zion)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long thy gates to see;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 Zion, Zion,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When shall I dwell in thee?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city with foundations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Firm as th'eternal throne;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Nor wars, nor desolation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Shall ever move a stone. [Refrain]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 night is there, no sorrow,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 death and no decay;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 yesterday, no morrow—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But one eternal day. [Refrain]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Within its pearly portals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Angelic armies sing,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With glorified immortals,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The praises of its King. [Refrain]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Existe una morada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*Note: utilizes each eighth note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Oh, existe_una morada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Que Jesús fue_a preparar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Para todo ser humano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Que busque_aquel hogar.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(coro)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¡O cielo, cielo!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(O cielo,_hermoso cielo)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 tu puerta_anhelo_estar.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¡O cielo, cielo!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(Hermoso cielo,_hermoso cielo)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¿Cuándo_en ti podré morar?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La ciudad está fundada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Sobre_el trono de poder;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Ni desolación ni guerra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Su muro_ha de mover.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No_hay dolor allá, ni muerte,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Ni vejez ni_enfermedad,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Ni_un ayer, ni_una mañana,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¡Tan sólo_eternidad!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En sus puertas tan hermosas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Con las huestes de_ángeles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Santos ya glorificados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Alaban a su Rey.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