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Who at the Door is Standing?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PFTL 767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Who at the door is standing,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Patiently drawing near,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Entrance within demanding?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Whose is the voice I hear?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Sweetly the tones are falling;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“Open the door for me!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If thou wilt heed My calling,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 will abide with thee.”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All through the dark hours dreary,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Knocking again is He;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Jesus, art Thou not weary,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Waiting so long for me? (Refrain)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Door of my heart, I hasten!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Thee will I open wide.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Though He rebuke and chasten,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He shall with me abide. (Refrain)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¿Quién a la puerta llama?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¿Quién a la puerta llama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Con tanta compasión?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Pide que le dé_entrada.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¿De quién es esa voz?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Llama_esa voz paciente: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“La puerta ábreme;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Si me_oyes, obediente,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Contigo moraré”.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Viene_otra vez; llamando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Toda la noche_está.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Cristo, ¿no_estás cansado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De tanto esperar?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¡Del corazón la puerta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 Él le abro ya!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Aunque Él me reprenda,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Conmigo morará.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